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5A01" w14:textId="18F01ABD" w:rsidR="00FE4F5E" w:rsidRPr="00FE4F5E" w:rsidRDefault="00FE4F5E" w:rsidP="00FE4F5E">
      <w:pPr>
        <w:spacing w:before="100" w:beforeAutospacing="1" w:after="100" w:afterAutospacing="1" w:line="240" w:lineRule="auto"/>
        <w:outlineLvl w:val="0"/>
        <w:rPr>
          <w:rFonts w:ascii="Georgia" w:eastAsia="Times New Roman" w:hAnsi="Georgia" w:cs="Times New Roman"/>
          <w:b/>
          <w:bCs/>
          <w:kern w:val="36"/>
          <w:sz w:val="26"/>
          <w:szCs w:val="26"/>
          <w14:ligatures w14:val="none"/>
        </w:rPr>
      </w:pPr>
      <w:r w:rsidRPr="00FE4F5E">
        <w:rPr>
          <w:rFonts w:ascii="Georgia" w:eastAsia="Times New Roman" w:hAnsi="Georgia" w:cs="Times New Roman"/>
          <w:b/>
          <w:bCs/>
          <w:kern w:val="36"/>
          <w:sz w:val="26"/>
          <w:szCs w:val="26"/>
          <w14:ligatures w14:val="none"/>
        </w:rPr>
        <w:t>Hogarth Message</w:t>
      </w:r>
    </w:p>
    <w:p w14:paraId="7538D2B8" w14:textId="77777777" w:rsidR="00FE4F5E" w:rsidRPr="00FE4F5E" w:rsidRDefault="00FE4F5E" w:rsidP="00FE4F5E">
      <w:pPr>
        <w:spacing w:after="0" w:line="240" w:lineRule="auto"/>
        <w:rPr>
          <w:rFonts w:ascii="Georgia" w:eastAsia="Times New Roman" w:hAnsi="Georgia" w:cs="Times New Roman"/>
          <w:kern w:val="0"/>
          <w:sz w:val="26"/>
          <w:szCs w:val="26"/>
          <w14:ligatures w14:val="none"/>
        </w:rPr>
      </w:pPr>
      <w:r w:rsidRPr="00FE4F5E">
        <w:rPr>
          <w:rFonts w:ascii="Georgia" w:eastAsia="Times New Roman" w:hAnsi="Georgia" w:cs="Times New Roman"/>
          <w:kern w:val="0"/>
          <w:sz w:val="26"/>
          <w:szCs w:val="26"/>
          <w14:ligatures w14:val="none"/>
        </w:rPr>
        <w:t>From Wikipedia, the free encyclopedia</w:t>
      </w:r>
    </w:p>
    <w:p w14:paraId="4E9C1C7D" w14:textId="77777777" w:rsidR="00FE4F5E" w:rsidRPr="00FE4F5E" w:rsidRDefault="00FE4F5E" w:rsidP="00FE4F5E">
      <w:pPr>
        <w:spacing w:after="0" w:line="240" w:lineRule="auto"/>
        <w:rPr>
          <w:rFonts w:ascii="Georgia" w:eastAsia="Times New Roman" w:hAnsi="Georgia" w:cs="Times New Roman"/>
          <w:kern w:val="0"/>
          <w:sz w:val="26"/>
          <w:szCs w:val="26"/>
          <w14:ligatures w14:val="none"/>
        </w:rPr>
      </w:pPr>
    </w:p>
    <w:p w14:paraId="6357DE38" w14:textId="77777777" w:rsidR="00FE4F5E" w:rsidRPr="00FE4F5E" w:rsidRDefault="00FE4F5E" w:rsidP="00FE4F5E">
      <w:pPr>
        <w:spacing w:after="0" w:line="240" w:lineRule="auto"/>
        <w:jc w:val="center"/>
        <w:rPr>
          <w:rFonts w:ascii="Georgia" w:eastAsia="Times New Roman" w:hAnsi="Georgia" w:cs="Times New Roman"/>
          <w:kern w:val="0"/>
          <w:sz w:val="26"/>
          <w:szCs w:val="26"/>
          <w:lang w:val="en"/>
          <w14:ligatures w14:val="none"/>
        </w:rPr>
      </w:pPr>
      <w:r w:rsidRPr="00FE4F5E">
        <w:rPr>
          <w:rFonts w:ascii="Georgia" w:eastAsia="Times New Roman" w:hAnsi="Georgia" w:cs="Times New Roman"/>
          <w:noProof/>
          <w:color w:val="0000FF"/>
          <w:kern w:val="0"/>
          <w:sz w:val="26"/>
          <w:szCs w:val="26"/>
          <w:lang w:val="en"/>
          <w14:ligatures w14:val="none"/>
        </w:rPr>
        <w:drawing>
          <wp:inline distT="0" distB="0" distL="0" distR="0" wp14:anchorId="4FD3F55B" wp14:editId="11788F49">
            <wp:extent cx="2095500" cy="1569720"/>
            <wp:effectExtent l="0" t="0" r="0" b="0"/>
            <wp:docPr id="1" name="Picture 1" descr="A group of men in military uniforms&#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men in military uniforms&#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p w14:paraId="1FF8CE83" w14:textId="0386BEF1" w:rsidR="00FE4F5E" w:rsidRPr="00FE4F5E" w:rsidRDefault="00FE4F5E" w:rsidP="00FE4F5E">
      <w:pPr>
        <w:spacing w:after="0" w:line="240" w:lineRule="auto"/>
        <w:jc w:val="center"/>
        <w:rPr>
          <w:rFonts w:ascii="Georgia" w:eastAsia="Times New Roman" w:hAnsi="Georgia" w:cs="Times New Roman"/>
          <w:kern w:val="0"/>
          <w:sz w:val="20"/>
          <w:szCs w:val="20"/>
          <w:lang w:val="en"/>
          <w14:ligatures w14:val="none"/>
        </w:rPr>
      </w:pPr>
      <w:hyperlink r:id="rId7" w:tooltip="T.E. Lawrence" w:history="1">
        <w:r w:rsidRPr="00FE4F5E">
          <w:rPr>
            <w:rFonts w:ascii="Georgia" w:eastAsia="Times New Roman" w:hAnsi="Georgia" w:cs="Times New Roman"/>
            <w:color w:val="0000FF"/>
            <w:kern w:val="0"/>
            <w:sz w:val="20"/>
            <w:szCs w:val="20"/>
            <w:u w:val="single"/>
            <w:lang w:val="en"/>
            <w14:ligatures w14:val="none"/>
          </w:rPr>
          <w:t>T.E. Lawrence</w:t>
        </w:r>
      </w:hyperlink>
      <w:r w:rsidRPr="00FE4F5E">
        <w:rPr>
          <w:rFonts w:ascii="Georgia" w:eastAsia="Times New Roman" w:hAnsi="Georgia" w:cs="Times New Roman"/>
          <w:kern w:val="0"/>
          <w:sz w:val="20"/>
          <w:szCs w:val="20"/>
          <w:lang w:val="en"/>
          <w14:ligatures w14:val="none"/>
        </w:rPr>
        <w:t xml:space="preserve">; D.G. Hogarth; </w:t>
      </w:r>
      <w:hyperlink r:id="rId8" w:tooltip="Guy Dawnay (British Army officer)" w:history="1">
        <w:r w:rsidRPr="00FE4F5E">
          <w:rPr>
            <w:rFonts w:ascii="Georgia" w:eastAsia="Times New Roman" w:hAnsi="Georgia" w:cs="Times New Roman"/>
            <w:color w:val="0000FF"/>
            <w:kern w:val="0"/>
            <w:sz w:val="20"/>
            <w:szCs w:val="20"/>
            <w:u w:val="single"/>
            <w:lang w:val="en"/>
            <w14:ligatures w14:val="none"/>
          </w:rPr>
          <w:t xml:space="preserve">Lt. Col. </w:t>
        </w:r>
        <w:proofErr w:type="spellStart"/>
        <w:r w:rsidRPr="00FE4F5E">
          <w:rPr>
            <w:rFonts w:ascii="Georgia" w:eastAsia="Times New Roman" w:hAnsi="Georgia" w:cs="Times New Roman"/>
            <w:color w:val="0000FF"/>
            <w:kern w:val="0"/>
            <w:sz w:val="20"/>
            <w:szCs w:val="20"/>
            <w:u w:val="single"/>
            <w:lang w:val="en"/>
            <w14:ligatures w14:val="none"/>
          </w:rPr>
          <w:t>Dawnay</w:t>
        </w:r>
        <w:proofErr w:type="spellEnd"/>
      </w:hyperlink>
    </w:p>
    <w:p w14:paraId="27174032" w14:textId="77777777" w:rsidR="00FE4F5E" w:rsidRPr="00FE4F5E" w:rsidRDefault="00FE4F5E" w:rsidP="00FE4F5E">
      <w:pPr>
        <w:spacing w:before="100" w:beforeAutospacing="1" w:after="100" w:afterAutospacing="1" w:line="240" w:lineRule="auto"/>
        <w:rPr>
          <w:rFonts w:ascii="Georgia" w:eastAsia="Times New Roman" w:hAnsi="Georgia" w:cs="Times New Roman"/>
          <w:kern w:val="0"/>
          <w:sz w:val="26"/>
          <w:szCs w:val="26"/>
          <w:lang w:val="en"/>
          <w14:ligatures w14:val="none"/>
        </w:rPr>
      </w:pPr>
      <w:r w:rsidRPr="00FE4F5E">
        <w:rPr>
          <w:rFonts w:ascii="Georgia" w:eastAsia="Times New Roman" w:hAnsi="Georgia" w:cs="Times New Roman"/>
          <w:kern w:val="0"/>
          <w:sz w:val="26"/>
          <w:szCs w:val="26"/>
          <w:lang w:val="en"/>
          <w14:ligatures w14:val="none"/>
        </w:rPr>
        <w:t xml:space="preserve">The </w:t>
      </w:r>
      <w:r w:rsidRPr="00FE4F5E">
        <w:rPr>
          <w:rFonts w:ascii="Georgia" w:eastAsia="Times New Roman" w:hAnsi="Georgia" w:cs="Times New Roman"/>
          <w:b/>
          <w:bCs/>
          <w:kern w:val="0"/>
          <w:sz w:val="26"/>
          <w:szCs w:val="26"/>
          <w:lang w:val="en"/>
          <w14:ligatures w14:val="none"/>
        </w:rPr>
        <w:t>Hogarth Message</w:t>
      </w:r>
      <w:r w:rsidRPr="00FE4F5E">
        <w:rPr>
          <w:rFonts w:ascii="Georgia" w:eastAsia="Times New Roman" w:hAnsi="Georgia" w:cs="Times New Roman"/>
          <w:kern w:val="0"/>
          <w:sz w:val="26"/>
          <w:szCs w:val="26"/>
          <w:lang w:val="en"/>
          <w14:ligatures w14:val="none"/>
        </w:rPr>
        <w:t xml:space="preserve"> was a January 1918 message from Commander </w:t>
      </w:r>
      <w:hyperlink r:id="rId9" w:tooltip="David George Hogarth" w:history="1">
        <w:r w:rsidRPr="00FE4F5E">
          <w:rPr>
            <w:rFonts w:ascii="Georgia" w:eastAsia="Times New Roman" w:hAnsi="Georgia" w:cs="Times New Roman"/>
            <w:color w:val="0000FF"/>
            <w:kern w:val="0"/>
            <w:sz w:val="26"/>
            <w:szCs w:val="26"/>
            <w:u w:val="single"/>
            <w:lang w:val="en"/>
            <w14:ligatures w14:val="none"/>
          </w:rPr>
          <w:t>David Hogarth</w:t>
        </w:r>
      </w:hyperlink>
      <w:r w:rsidRPr="00FE4F5E">
        <w:rPr>
          <w:rFonts w:ascii="Georgia" w:eastAsia="Times New Roman" w:hAnsi="Georgia" w:cs="Times New Roman"/>
          <w:kern w:val="0"/>
          <w:sz w:val="26"/>
          <w:szCs w:val="26"/>
          <w:lang w:val="en"/>
          <w14:ligatures w14:val="none"/>
        </w:rPr>
        <w:t xml:space="preserve">, head of the </w:t>
      </w:r>
      <w:hyperlink r:id="rId10" w:tooltip="Arab Bureau" w:history="1">
        <w:r w:rsidRPr="00FE4F5E">
          <w:rPr>
            <w:rFonts w:ascii="Georgia" w:eastAsia="Times New Roman" w:hAnsi="Georgia" w:cs="Times New Roman"/>
            <w:color w:val="0000FF"/>
            <w:kern w:val="0"/>
            <w:sz w:val="26"/>
            <w:szCs w:val="26"/>
            <w:u w:val="single"/>
            <w:lang w:val="en"/>
            <w14:ligatures w14:val="none"/>
          </w:rPr>
          <w:t>Arab Bureau</w:t>
        </w:r>
      </w:hyperlink>
      <w:r w:rsidRPr="00FE4F5E">
        <w:rPr>
          <w:rFonts w:ascii="Georgia" w:eastAsia="Times New Roman" w:hAnsi="Georgia" w:cs="Times New Roman"/>
          <w:kern w:val="0"/>
          <w:sz w:val="26"/>
          <w:szCs w:val="26"/>
          <w:lang w:val="en"/>
          <w14:ligatures w14:val="none"/>
        </w:rPr>
        <w:t xml:space="preserve"> in Cairo, to </w:t>
      </w:r>
      <w:hyperlink r:id="rId11" w:tooltip="Hussein bin Ali, Sharif of Mecca" w:history="1">
        <w:r w:rsidRPr="00FE4F5E">
          <w:rPr>
            <w:rFonts w:ascii="Georgia" w:eastAsia="Times New Roman" w:hAnsi="Georgia" w:cs="Times New Roman"/>
            <w:color w:val="0000FF"/>
            <w:kern w:val="0"/>
            <w:sz w:val="26"/>
            <w:szCs w:val="26"/>
            <w:u w:val="single"/>
            <w:lang w:val="en"/>
            <w14:ligatures w14:val="none"/>
          </w:rPr>
          <w:t>Hussein bin Ali, Sharif of Mecca</w:t>
        </w:r>
      </w:hyperlink>
      <w:r w:rsidRPr="00FE4F5E">
        <w:rPr>
          <w:rFonts w:ascii="Georgia" w:eastAsia="Times New Roman" w:hAnsi="Georgia" w:cs="Times New Roman"/>
          <w:kern w:val="0"/>
          <w:sz w:val="26"/>
          <w:szCs w:val="26"/>
          <w:lang w:val="en"/>
          <w14:ligatures w14:val="none"/>
        </w:rPr>
        <w:t xml:space="preserve">, following Hussein's request for an explanation of the </w:t>
      </w:r>
      <w:hyperlink r:id="rId12" w:tooltip="Balfour Declaration" w:history="1">
        <w:r w:rsidRPr="00FE4F5E">
          <w:rPr>
            <w:rFonts w:ascii="Georgia" w:eastAsia="Times New Roman" w:hAnsi="Georgia" w:cs="Times New Roman"/>
            <w:color w:val="0000FF"/>
            <w:kern w:val="0"/>
            <w:sz w:val="26"/>
            <w:szCs w:val="26"/>
            <w:u w:val="single"/>
            <w:lang w:val="en"/>
            <w14:ligatures w14:val="none"/>
          </w:rPr>
          <w:t>Balfour Declaration</w:t>
        </w:r>
      </w:hyperlink>
      <w:r w:rsidRPr="00FE4F5E">
        <w:rPr>
          <w:rFonts w:ascii="Georgia" w:eastAsia="Times New Roman" w:hAnsi="Georgia" w:cs="Times New Roman"/>
          <w:kern w:val="0"/>
          <w:sz w:val="26"/>
          <w:szCs w:val="26"/>
          <w:lang w:val="en"/>
          <w14:ligatures w14:val="none"/>
        </w:rPr>
        <w:t xml:space="preserve">. </w:t>
      </w:r>
    </w:p>
    <w:p w14:paraId="42069861" w14:textId="77777777" w:rsidR="00FE4F5E" w:rsidRPr="00FE4F5E" w:rsidRDefault="00FE4F5E" w:rsidP="00FE4F5E">
      <w:pPr>
        <w:spacing w:before="100" w:beforeAutospacing="1" w:after="100" w:afterAutospacing="1" w:line="240" w:lineRule="auto"/>
        <w:rPr>
          <w:rFonts w:ascii="Georgia" w:eastAsia="Times New Roman" w:hAnsi="Georgia" w:cs="Times New Roman"/>
          <w:kern w:val="0"/>
          <w:sz w:val="26"/>
          <w:szCs w:val="26"/>
          <w:lang w:val="en"/>
          <w14:ligatures w14:val="none"/>
        </w:rPr>
      </w:pPr>
      <w:r w:rsidRPr="00FE4F5E">
        <w:rPr>
          <w:rFonts w:ascii="Georgia" w:eastAsia="Times New Roman" w:hAnsi="Georgia" w:cs="Times New Roman"/>
          <w:kern w:val="0"/>
          <w:sz w:val="26"/>
          <w:szCs w:val="26"/>
          <w:lang w:val="en"/>
          <w14:ligatures w14:val="none"/>
        </w:rPr>
        <w:t xml:space="preserve">Hogarth was dispatched to </w:t>
      </w:r>
      <w:hyperlink r:id="rId13" w:tooltip="Jeddah" w:history="1">
        <w:r w:rsidRPr="00FE4F5E">
          <w:rPr>
            <w:rFonts w:ascii="Georgia" w:eastAsia="Times New Roman" w:hAnsi="Georgia" w:cs="Times New Roman"/>
            <w:color w:val="0000FF"/>
            <w:kern w:val="0"/>
            <w:sz w:val="26"/>
            <w:szCs w:val="26"/>
            <w:u w:val="single"/>
            <w:lang w:val="en"/>
            <w14:ligatures w14:val="none"/>
          </w:rPr>
          <w:t>Jeddah</w:t>
        </w:r>
      </w:hyperlink>
      <w:r w:rsidRPr="00FE4F5E">
        <w:rPr>
          <w:rFonts w:ascii="Georgia" w:eastAsia="Times New Roman" w:hAnsi="Georgia" w:cs="Times New Roman"/>
          <w:kern w:val="0"/>
          <w:sz w:val="26"/>
          <w:szCs w:val="26"/>
          <w:lang w:val="en"/>
          <w14:ligatures w14:val="none"/>
        </w:rPr>
        <w:t xml:space="preserve"> to deliver the letter, which had been written by Sir </w:t>
      </w:r>
      <w:hyperlink r:id="rId14" w:tooltip="Mark Sykes" w:history="1">
        <w:r w:rsidRPr="00FE4F5E">
          <w:rPr>
            <w:rFonts w:ascii="Georgia" w:eastAsia="Times New Roman" w:hAnsi="Georgia" w:cs="Times New Roman"/>
            <w:color w:val="0000FF"/>
            <w:kern w:val="0"/>
            <w:sz w:val="26"/>
            <w:szCs w:val="26"/>
            <w:u w:val="single"/>
            <w:lang w:val="en"/>
            <w14:ligatures w14:val="none"/>
          </w:rPr>
          <w:t>Mark Sykes</w:t>
        </w:r>
      </w:hyperlink>
      <w:r w:rsidRPr="00FE4F5E">
        <w:rPr>
          <w:rFonts w:ascii="Georgia" w:eastAsia="Times New Roman" w:hAnsi="Georgia" w:cs="Times New Roman"/>
          <w:kern w:val="0"/>
          <w:sz w:val="26"/>
          <w:szCs w:val="26"/>
          <w:lang w:val="en"/>
          <w14:ligatures w14:val="none"/>
        </w:rPr>
        <w:t xml:space="preserve"> on behalf of the British Government. </w:t>
      </w:r>
    </w:p>
    <w:p w14:paraId="12108F64" w14:textId="77777777" w:rsidR="00FE4F5E" w:rsidRPr="00FE4F5E" w:rsidRDefault="00FE4F5E" w:rsidP="00FE4F5E">
      <w:pPr>
        <w:spacing w:before="100" w:beforeAutospacing="1" w:after="100" w:afterAutospacing="1" w:line="240" w:lineRule="auto"/>
        <w:outlineLvl w:val="1"/>
        <w:rPr>
          <w:rFonts w:ascii="Georgia" w:eastAsia="Times New Roman" w:hAnsi="Georgia" w:cs="Times New Roman"/>
          <w:b/>
          <w:bCs/>
          <w:kern w:val="0"/>
          <w:sz w:val="26"/>
          <w:szCs w:val="26"/>
          <w:lang w:val="en"/>
          <w14:ligatures w14:val="none"/>
        </w:rPr>
      </w:pPr>
      <w:r w:rsidRPr="00FE4F5E">
        <w:rPr>
          <w:rFonts w:ascii="Georgia" w:eastAsia="Times New Roman" w:hAnsi="Georgia" w:cs="Times New Roman"/>
          <w:b/>
          <w:bCs/>
          <w:kern w:val="0"/>
          <w:sz w:val="26"/>
          <w:szCs w:val="26"/>
          <w:lang w:val="en"/>
          <w14:ligatures w14:val="none"/>
        </w:rPr>
        <w:t>The message</w:t>
      </w:r>
    </w:p>
    <w:p w14:paraId="2059B41D" w14:textId="77777777" w:rsidR="00FE4F5E" w:rsidRPr="00FE4F5E" w:rsidRDefault="00FE4F5E" w:rsidP="00FE4F5E">
      <w:pPr>
        <w:spacing w:before="100" w:beforeAutospacing="1" w:after="100" w:afterAutospacing="1" w:line="240" w:lineRule="auto"/>
        <w:rPr>
          <w:rFonts w:ascii="Georgia" w:eastAsia="Times New Roman" w:hAnsi="Georgia" w:cs="Times New Roman"/>
          <w:kern w:val="0"/>
          <w:sz w:val="26"/>
          <w:szCs w:val="26"/>
          <w14:ligatures w14:val="none"/>
        </w:rPr>
      </w:pPr>
      <w:r w:rsidRPr="00FE4F5E">
        <w:rPr>
          <w:rFonts w:ascii="Georgia" w:eastAsia="Times New Roman" w:hAnsi="Georgia" w:cs="Times New Roman"/>
          <w:kern w:val="0"/>
          <w:sz w:val="26"/>
          <w:szCs w:val="26"/>
          <w14:ligatures w14:val="none"/>
        </w:rPr>
        <w:t xml:space="preserve">The message assured Hussein </w:t>
      </w:r>
      <w:proofErr w:type="gramStart"/>
      <w:r w:rsidRPr="00FE4F5E">
        <w:rPr>
          <w:rFonts w:ascii="Georgia" w:eastAsia="Times New Roman" w:hAnsi="Georgia" w:cs="Times New Roman"/>
          <w:kern w:val="0"/>
          <w:sz w:val="26"/>
          <w:szCs w:val="26"/>
          <w14:ligatures w14:val="none"/>
        </w:rPr>
        <w:t>that</w:t>
      </w:r>
      <w:proofErr w:type="gramEnd"/>
      <w:r w:rsidRPr="00FE4F5E">
        <w:rPr>
          <w:rFonts w:ascii="Georgia" w:eastAsia="Times New Roman" w:hAnsi="Georgia" w:cs="Times New Roman"/>
          <w:kern w:val="0"/>
          <w:sz w:val="26"/>
          <w:szCs w:val="26"/>
          <w14:ligatures w14:val="none"/>
        </w:rPr>
        <w:t xml:space="preserve"> </w:t>
      </w:r>
    </w:p>
    <w:p w14:paraId="2C5F8CA3" w14:textId="77777777" w:rsidR="00FE4F5E" w:rsidRPr="00FE4F5E" w:rsidRDefault="00FE4F5E" w:rsidP="00FE4F5E">
      <w:pPr>
        <w:spacing w:beforeAutospacing="1" w:after="100" w:afterAutospacing="1" w:line="240" w:lineRule="auto"/>
        <w:rPr>
          <w:rFonts w:ascii="Georgia" w:eastAsia="Times New Roman" w:hAnsi="Georgia" w:cs="Times New Roman"/>
          <w:kern w:val="0"/>
          <w:sz w:val="26"/>
          <w:szCs w:val="26"/>
          <w14:ligatures w14:val="none"/>
        </w:rPr>
      </w:pPr>
      <w:r w:rsidRPr="00FE4F5E">
        <w:rPr>
          <w:rFonts w:ascii="Georgia" w:eastAsia="Times New Roman" w:hAnsi="Georgia" w:cs="Times New Roman"/>
          <w:kern w:val="0"/>
          <w:sz w:val="26"/>
          <w:szCs w:val="26"/>
          <w14:ligatures w14:val="none"/>
        </w:rPr>
        <w:t xml:space="preserve">"(1) The Entente Powers are determined that the Arab race shall be given full opportunity of once again forming a nation in the world. This can only be achieved by the Arabs themselves uniting, and Great Britain and her Allies will pursue a policy with this ultimate unity in view. </w:t>
      </w:r>
    </w:p>
    <w:p w14:paraId="68A3035B" w14:textId="77777777" w:rsidR="00FE4F5E" w:rsidRPr="00FE4F5E" w:rsidRDefault="00FE4F5E" w:rsidP="00FE4F5E">
      <w:pPr>
        <w:spacing w:before="100" w:beforeAutospacing="1" w:after="100" w:afterAutospacing="1" w:line="240" w:lineRule="auto"/>
        <w:rPr>
          <w:rFonts w:ascii="Georgia" w:eastAsia="Times New Roman" w:hAnsi="Georgia" w:cs="Times New Roman"/>
          <w:kern w:val="0"/>
          <w:sz w:val="26"/>
          <w:szCs w:val="26"/>
          <w14:ligatures w14:val="none"/>
        </w:rPr>
      </w:pPr>
      <w:r w:rsidRPr="00FE4F5E">
        <w:rPr>
          <w:rFonts w:ascii="Georgia" w:eastAsia="Times New Roman" w:hAnsi="Georgia" w:cs="Times New Roman"/>
          <w:kern w:val="0"/>
          <w:sz w:val="26"/>
          <w:szCs w:val="26"/>
          <w14:ligatures w14:val="none"/>
        </w:rPr>
        <w:t xml:space="preserve">"(2) So far as Palestine is </w:t>
      </w:r>
      <w:proofErr w:type="gramStart"/>
      <w:r w:rsidRPr="00FE4F5E">
        <w:rPr>
          <w:rFonts w:ascii="Georgia" w:eastAsia="Times New Roman" w:hAnsi="Georgia" w:cs="Times New Roman"/>
          <w:kern w:val="0"/>
          <w:sz w:val="26"/>
          <w:szCs w:val="26"/>
          <w14:ligatures w14:val="none"/>
        </w:rPr>
        <w:t>concerned</w:t>
      </w:r>
      <w:proofErr w:type="gramEnd"/>
      <w:r w:rsidRPr="00FE4F5E">
        <w:rPr>
          <w:rFonts w:ascii="Georgia" w:eastAsia="Times New Roman" w:hAnsi="Georgia" w:cs="Times New Roman"/>
          <w:kern w:val="0"/>
          <w:sz w:val="26"/>
          <w:szCs w:val="26"/>
          <w14:ligatures w14:val="none"/>
        </w:rPr>
        <w:t xml:space="preserve"> we are determined that no people shall be subject to another, but </w:t>
      </w:r>
    </w:p>
    <w:p w14:paraId="50C4B876" w14:textId="77777777" w:rsidR="00FE4F5E" w:rsidRPr="00FE4F5E" w:rsidRDefault="00FE4F5E" w:rsidP="00FE4F5E">
      <w:pPr>
        <w:spacing w:after="0" w:line="240" w:lineRule="auto"/>
        <w:ind w:left="1440"/>
        <w:rPr>
          <w:rFonts w:ascii="Georgia" w:eastAsia="Times New Roman" w:hAnsi="Georgia" w:cs="Times New Roman"/>
          <w:kern w:val="0"/>
          <w:sz w:val="26"/>
          <w:szCs w:val="26"/>
          <w14:ligatures w14:val="none"/>
        </w:rPr>
      </w:pPr>
      <w:r w:rsidRPr="00FE4F5E">
        <w:rPr>
          <w:rFonts w:ascii="Georgia" w:eastAsia="Times New Roman" w:hAnsi="Georgia" w:cs="Times New Roman"/>
          <w:kern w:val="0"/>
          <w:sz w:val="26"/>
          <w:szCs w:val="26"/>
          <w14:ligatures w14:val="none"/>
        </w:rPr>
        <w:t xml:space="preserve">(a) In view of the fact that there are in Palestine shrines, </w:t>
      </w:r>
      <w:hyperlink r:id="rId15" w:tooltip="Wakf" w:history="1">
        <w:r w:rsidRPr="00FE4F5E">
          <w:rPr>
            <w:rFonts w:ascii="Georgia" w:eastAsia="Times New Roman" w:hAnsi="Georgia" w:cs="Times New Roman"/>
            <w:color w:val="0000FF"/>
            <w:kern w:val="0"/>
            <w:sz w:val="26"/>
            <w:szCs w:val="26"/>
            <w:u w:val="single"/>
            <w14:ligatures w14:val="none"/>
          </w:rPr>
          <w:t>Wakfs</w:t>
        </w:r>
      </w:hyperlink>
      <w:r w:rsidRPr="00FE4F5E">
        <w:rPr>
          <w:rFonts w:ascii="Georgia" w:eastAsia="Times New Roman" w:hAnsi="Georgia" w:cs="Times New Roman"/>
          <w:kern w:val="0"/>
          <w:sz w:val="26"/>
          <w:szCs w:val="26"/>
          <w14:ligatures w14:val="none"/>
        </w:rPr>
        <w:t xml:space="preserve"> and Holy places, sacred in some cases to Moslems alone, to Jews alone, to Christians alone, and in others to two or all three, and inasmuch as these places are of interest to vast masses of people outside Palestine and Arabia, there must be a special regime to deal with these places approved of-by the world.</w:t>
      </w:r>
    </w:p>
    <w:p w14:paraId="25E5711E" w14:textId="77777777" w:rsidR="00FE4F5E" w:rsidRPr="00FE4F5E" w:rsidRDefault="00FE4F5E" w:rsidP="00FE4F5E">
      <w:pPr>
        <w:spacing w:after="0" w:line="240" w:lineRule="auto"/>
        <w:ind w:left="1440"/>
        <w:rPr>
          <w:rFonts w:ascii="Georgia" w:eastAsia="Times New Roman" w:hAnsi="Georgia" w:cs="Times New Roman"/>
          <w:kern w:val="0"/>
          <w:sz w:val="26"/>
          <w:szCs w:val="26"/>
          <w14:ligatures w14:val="none"/>
        </w:rPr>
      </w:pPr>
      <w:r w:rsidRPr="00FE4F5E">
        <w:rPr>
          <w:rFonts w:ascii="Georgia" w:eastAsia="Times New Roman" w:hAnsi="Georgia" w:cs="Times New Roman"/>
          <w:kern w:val="0"/>
          <w:sz w:val="26"/>
          <w:szCs w:val="26"/>
          <w14:ligatures w14:val="none"/>
        </w:rPr>
        <w:t xml:space="preserve">(b) As regards the </w:t>
      </w:r>
      <w:hyperlink r:id="rId16" w:tooltip="Mosque of Omar (Jerusalem)" w:history="1">
        <w:r w:rsidRPr="00FE4F5E">
          <w:rPr>
            <w:rFonts w:ascii="Georgia" w:eastAsia="Times New Roman" w:hAnsi="Georgia" w:cs="Times New Roman"/>
            <w:color w:val="0000FF"/>
            <w:kern w:val="0"/>
            <w:sz w:val="26"/>
            <w:szCs w:val="26"/>
            <w:u w:val="single"/>
            <w14:ligatures w14:val="none"/>
          </w:rPr>
          <w:t>Mosque of Omar</w:t>
        </w:r>
      </w:hyperlink>
      <w:r w:rsidRPr="00FE4F5E">
        <w:rPr>
          <w:rFonts w:ascii="Georgia" w:eastAsia="Times New Roman" w:hAnsi="Georgia" w:cs="Times New Roman"/>
          <w:kern w:val="0"/>
          <w:sz w:val="26"/>
          <w:szCs w:val="26"/>
          <w14:ligatures w14:val="none"/>
        </w:rPr>
        <w:t xml:space="preserve"> it shall be considered as a Moslem concern alone and shall not be subjected directly or indirectly to any non-Moslem authority.</w:t>
      </w:r>
    </w:p>
    <w:p w14:paraId="6E31551A" w14:textId="77777777" w:rsidR="00FE4F5E" w:rsidRPr="00FE4F5E" w:rsidRDefault="00FE4F5E" w:rsidP="00FE4F5E">
      <w:pPr>
        <w:spacing w:before="100" w:beforeAutospacing="1" w:after="100" w:afterAutospacing="1" w:line="240" w:lineRule="auto"/>
        <w:rPr>
          <w:rFonts w:ascii="Georgia" w:eastAsia="Times New Roman" w:hAnsi="Georgia" w:cs="Times New Roman"/>
          <w:kern w:val="0"/>
          <w:sz w:val="26"/>
          <w:szCs w:val="26"/>
          <w14:ligatures w14:val="none"/>
        </w:rPr>
      </w:pPr>
      <w:r w:rsidRPr="00FE4F5E">
        <w:rPr>
          <w:rFonts w:ascii="Georgia" w:eastAsia="Times New Roman" w:hAnsi="Georgia" w:cs="Times New Roman"/>
          <w:kern w:val="0"/>
          <w:sz w:val="26"/>
          <w:szCs w:val="26"/>
          <w14:ligatures w14:val="none"/>
        </w:rPr>
        <w:lastRenderedPageBreak/>
        <w:t xml:space="preserve">"(3) Since the Jewish opinion of the world is in </w:t>
      </w:r>
      <w:proofErr w:type="spellStart"/>
      <w:r w:rsidRPr="00FE4F5E">
        <w:rPr>
          <w:rFonts w:ascii="Georgia" w:eastAsia="Times New Roman" w:hAnsi="Georgia" w:cs="Times New Roman"/>
          <w:kern w:val="0"/>
          <w:sz w:val="26"/>
          <w:szCs w:val="26"/>
          <w14:ligatures w14:val="none"/>
        </w:rPr>
        <w:t>favour</w:t>
      </w:r>
      <w:proofErr w:type="spellEnd"/>
      <w:r w:rsidRPr="00FE4F5E">
        <w:rPr>
          <w:rFonts w:ascii="Georgia" w:eastAsia="Times New Roman" w:hAnsi="Georgia" w:cs="Times New Roman"/>
          <w:kern w:val="0"/>
          <w:sz w:val="26"/>
          <w:szCs w:val="26"/>
          <w14:ligatures w14:val="none"/>
        </w:rPr>
        <w:t xml:space="preserve"> of a return of Jews to Palestine and inasmuch as this opinion must remain a constant factor, and further as His Majesty’s Government view with </w:t>
      </w:r>
      <w:proofErr w:type="spellStart"/>
      <w:r w:rsidRPr="00FE4F5E">
        <w:rPr>
          <w:rFonts w:ascii="Georgia" w:eastAsia="Times New Roman" w:hAnsi="Georgia" w:cs="Times New Roman"/>
          <w:kern w:val="0"/>
          <w:sz w:val="26"/>
          <w:szCs w:val="26"/>
          <w14:ligatures w14:val="none"/>
        </w:rPr>
        <w:t>favour</w:t>
      </w:r>
      <w:proofErr w:type="spellEnd"/>
      <w:r w:rsidRPr="00FE4F5E">
        <w:rPr>
          <w:rFonts w:ascii="Georgia" w:eastAsia="Times New Roman" w:hAnsi="Georgia" w:cs="Times New Roman"/>
          <w:kern w:val="0"/>
          <w:sz w:val="26"/>
          <w:szCs w:val="26"/>
          <w14:ligatures w14:val="none"/>
        </w:rPr>
        <w:t xml:space="preserve"> the </w:t>
      </w:r>
      <w:proofErr w:type="spellStart"/>
      <w:r w:rsidRPr="00FE4F5E">
        <w:rPr>
          <w:rFonts w:ascii="Georgia" w:eastAsia="Times New Roman" w:hAnsi="Georgia" w:cs="Times New Roman"/>
          <w:kern w:val="0"/>
          <w:sz w:val="26"/>
          <w:szCs w:val="26"/>
          <w14:ligatures w14:val="none"/>
        </w:rPr>
        <w:t>realisation</w:t>
      </w:r>
      <w:proofErr w:type="spellEnd"/>
      <w:r w:rsidRPr="00FE4F5E">
        <w:rPr>
          <w:rFonts w:ascii="Georgia" w:eastAsia="Times New Roman" w:hAnsi="Georgia" w:cs="Times New Roman"/>
          <w:kern w:val="0"/>
          <w:sz w:val="26"/>
          <w:szCs w:val="26"/>
          <w14:ligatures w14:val="none"/>
        </w:rPr>
        <w:t xml:space="preserve"> of this aspiration, His Majesty’s Government are determined that in so far as is compatible with the freedom of the existing population both economic and political, no obstacle should be put in the way of the </w:t>
      </w:r>
      <w:proofErr w:type="spellStart"/>
      <w:r w:rsidRPr="00FE4F5E">
        <w:rPr>
          <w:rFonts w:ascii="Georgia" w:eastAsia="Times New Roman" w:hAnsi="Georgia" w:cs="Times New Roman"/>
          <w:kern w:val="0"/>
          <w:sz w:val="26"/>
          <w:szCs w:val="26"/>
          <w14:ligatures w14:val="none"/>
        </w:rPr>
        <w:t>realisation</w:t>
      </w:r>
      <w:proofErr w:type="spellEnd"/>
      <w:r w:rsidRPr="00FE4F5E">
        <w:rPr>
          <w:rFonts w:ascii="Georgia" w:eastAsia="Times New Roman" w:hAnsi="Georgia" w:cs="Times New Roman"/>
          <w:kern w:val="0"/>
          <w:sz w:val="26"/>
          <w:szCs w:val="26"/>
          <w14:ligatures w14:val="none"/>
        </w:rPr>
        <w:t xml:space="preserve"> of this ideal. </w:t>
      </w:r>
    </w:p>
    <w:p w14:paraId="759AB20A" w14:textId="126B6A66" w:rsidR="00FE4F5E" w:rsidRDefault="00FE4F5E" w:rsidP="00FE4F5E">
      <w:pPr>
        <w:spacing w:before="100" w:beforeAutospacing="1" w:after="100" w:afterAutospacing="1" w:line="240" w:lineRule="auto"/>
        <w:rPr>
          <w:rFonts w:ascii="Georgia" w:eastAsia="Times New Roman" w:hAnsi="Georgia" w:cs="Times New Roman"/>
          <w:kern w:val="0"/>
          <w:sz w:val="26"/>
          <w:szCs w:val="26"/>
          <w14:ligatures w14:val="none"/>
        </w:rPr>
      </w:pPr>
      <w:r w:rsidRPr="00FE4F5E">
        <w:rPr>
          <w:rFonts w:ascii="Georgia" w:eastAsia="Times New Roman" w:hAnsi="Georgia" w:cs="Times New Roman"/>
          <w:kern w:val="0"/>
          <w:sz w:val="26"/>
          <w:szCs w:val="26"/>
          <w14:ligatures w14:val="none"/>
        </w:rPr>
        <w:t xml:space="preserve">In this </w:t>
      </w:r>
      <w:proofErr w:type="spellStart"/>
      <w:r w:rsidRPr="00FE4F5E">
        <w:rPr>
          <w:rFonts w:ascii="Georgia" w:eastAsia="Times New Roman" w:hAnsi="Georgia" w:cs="Times New Roman"/>
          <w:kern w:val="0"/>
          <w:sz w:val="26"/>
          <w:szCs w:val="26"/>
          <w14:ligatures w14:val="none"/>
        </w:rPr>
        <w:t>connexion</w:t>
      </w:r>
      <w:proofErr w:type="spellEnd"/>
      <w:r w:rsidRPr="00FE4F5E">
        <w:rPr>
          <w:rFonts w:ascii="Georgia" w:eastAsia="Times New Roman" w:hAnsi="Georgia" w:cs="Times New Roman"/>
          <w:kern w:val="0"/>
          <w:sz w:val="26"/>
          <w:szCs w:val="26"/>
          <w14:ligatures w14:val="none"/>
        </w:rPr>
        <w:t xml:space="preserve"> the friendship of world Jewry to the Arab cause is equivalent to support in all States where Jews have a political influence. The leaders of the movement are determined to bring about the success of Zionism by friendship and co-operation with the Arabs, and such an offer is not one to be lightly thrown aside</w:t>
      </w:r>
      <w:r>
        <w:rPr>
          <w:rFonts w:ascii="Georgia" w:eastAsia="Times New Roman" w:hAnsi="Georgia" w:cs="Times New Roman"/>
          <w:kern w:val="0"/>
          <w:sz w:val="26"/>
          <w:szCs w:val="26"/>
          <w14:ligatures w14:val="none"/>
        </w:rPr>
        <w:t>.</w:t>
      </w:r>
      <w:r w:rsidRPr="00FE4F5E">
        <w:rPr>
          <w:rFonts w:ascii="Georgia" w:eastAsia="Times New Roman" w:hAnsi="Georgia" w:cs="Times New Roman"/>
          <w:kern w:val="0"/>
          <w:sz w:val="26"/>
          <w:szCs w:val="26"/>
          <w14:ligatures w14:val="none"/>
        </w:rPr>
        <w:t>"</w:t>
      </w:r>
      <w:r w:rsidRPr="00FE4F5E">
        <w:rPr>
          <w:rFonts w:ascii="Georgia" w:eastAsia="Times New Roman" w:hAnsi="Georgia" w:cs="Times New Roman"/>
          <w:kern w:val="0"/>
          <w:sz w:val="26"/>
          <w:szCs w:val="26"/>
          <w14:ligatures w14:val="none"/>
        </w:rPr>
        <w:t xml:space="preserve"> </w:t>
      </w:r>
    </w:p>
    <w:p w14:paraId="7665AC67" w14:textId="77777777" w:rsidR="00FE4F5E" w:rsidRDefault="00FE4F5E" w:rsidP="00FE4F5E">
      <w:pPr>
        <w:spacing w:before="100" w:beforeAutospacing="1" w:after="100" w:afterAutospacing="1" w:line="240" w:lineRule="auto"/>
        <w:rPr>
          <w:rFonts w:ascii="Georgia" w:eastAsia="Times New Roman" w:hAnsi="Georgia" w:cs="Times New Roman"/>
          <w:kern w:val="0"/>
          <w:sz w:val="26"/>
          <w:szCs w:val="26"/>
          <w14:ligatures w14:val="none"/>
        </w:rPr>
      </w:pPr>
    </w:p>
    <w:p w14:paraId="03A9A835" w14:textId="77777777" w:rsidR="00FE4F5E" w:rsidRPr="00FE4F5E" w:rsidRDefault="00FE4F5E" w:rsidP="00FE4F5E">
      <w:pPr>
        <w:spacing w:before="100" w:beforeAutospacing="1" w:after="100" w:afterAutospacing="1" w:line="240" w:lineRule="auto"/>
        <w:rPr>
          <w:rFonts w:ascii="Georgia" w:eastAsia="Times New Roman" w:hAnsi="Georgia" w:cs="Times New Roman"/>
          <w:kern w:val="0"/>
          <w:sz w:val="26"/>
          <w:szCs w:val="26"/>
          <w14:ligatures w14:val="none"/>
        </w:rPr>
      </w:pPr>
    </w:p>
    <w:p w14:paraId="4AAD238A" w14:textId="77777777" w:rsidR="00FE4F5E" w:rsidRPr="00FE4F5E" w:rsidRDefault="00FE4F5E" w:rsidP="00FE4F5E">
      <w:pPr>
        <w:spacing w:before="100" w:beforeAutospacing="1" w:after="100" w:afterAutospacing="1" w:line="240" w:lineRule="auto"/>
        <w:outlineLvl w:val="1"/>
        <w:rPr>
          <w:rFonts w:ascii="Georgia" w:eastAsia="Times New Roman" w:hAnsi="Georgia" w:cs="Times New Roman"/>
          <w:b/>
          <w:bCs/>
          <w:kern w:val="0"/>
          <w:sz w:val="26"/>
          <w:szCs w:val="26"/>
          <w14:ligatures w14:val="none"/>
        </w:rPr>
      </w:pPr>
      <w:r w:rsidRPr="00FE4F5E">
        <w:rPr>
          <w:rFonts w:ascii="Georgia" w:eastAsia="Times New Roman" w:hAnsi="Georgia" w:cs="Times New Roman"/>
          <w:b/>
          <w:bCs/>
          <w:kern w:val="0"/>
          <w:sz w:val="26"/>
          <w:szCs w:val="26"/>
          <w14:ligatures w14:val="none"/>
        </w:rPr>
        <w:t>Interpretation</w:t>
      </w:r>
    </w:p>
    <w:p w14:paraId="6F39535A" w14:textId="42FEF44A" w:rsidR="00FE4F5E" w:rsidRPr="00FE4F5E" w:rsidRDefault="00FE4F5E" w:rsidP="00FE4F5E">
      <w:pPr>
        <w:spacing w:before="100" w:beforeAutospacing="1" w:after="100" w:afterAutospacing="1" w:line="240" w:lineRule="auto"/>
        <w:rPr>
          <w:rFonts w:ascii="Georgia" w:eastAsia="Times New Roman" w:hAnsi="Georgia" w:cs="Times New Roman"/>
          <w:kern w:val="0"/>
          <w:sz w:val="26"/>
          <w:szCs w:val="26"/>
          <w14:ligatures w14:val="none"/>
        </w:rPr>
      </w:pPr>
      <w:r w:rsidRPr="00FE4F5E">
        <w:rPr>
          <w:rFonts w:ascii="Georgia" w:eastAsia="Times New Roman" w:hAnsi="Georgia" w:cs="Times New Roman"/>
          <w:kern w:val="0"/>
          <w:sz w:val="26"/>
          <w:szCs w:val="26"/>
          <w14:ligatures w14:val="none"/>
        </w:rPr>
        <w:t xml:space="preserve">The message was not formally released in translation until 1939; after its release, it was used in testimony to the </w:t>
      </w:r>
      <w:hyperlink r:id="rId17" w:tooltip="Permanent Mandates Commission (Palestine)" w:history="1">
        <w:r w:rsidRPr="00FE4F5E">
          <w:rPr>
            <w:rFonts w:ascii="Georgia" w:eastAsia="Times New Roman" w:hAnsi="Georgia" w:cs="Times New Roman"/>
            <w:color w:val="0000FF"/>
            <w:kern w:val="0"/>
            <w:sz w:val="26"/>
            <w:szCs w:val="26"/>
            <w:u w:val="single"/>
            <w14:ligatures w14:val="none"/>
          </w:rPr>
          <w:t>Permanent Mandates Commission</w:t>
        </w:r>
      </w:hyperlink>
      <w:r w:rsidRPr="00FE4F5E">
        <w:rPr>
          <w:rFonts w:ascii="Georgia" w:eastAsia="Times New Roman" w:hAnsi="Georgia" w:cs="Times New Roman"/>
          <w:kern w:val="0"/>
          <w:sz w:val="26"/>
          <w:szCs w:val="26"/>
          <w14:ligatures w14:val="none"/>
        </w:rPr>
        <w:t xml:space="preserve"> by </w:t>
      </w:r>
      <w:hyperlink r:id="rId18" w:tooltip="Malcolm MacDonald" w:history="1">
        <w:r w:rsidRPr="00FE4F5E">
          <w:rPr>
            <w:rFonts w:ascii="Georgia" w:eastAsia="Times New Roman" w:hAnsi="Georgia" w:cs="Times New Roman"/>
            <w:color w:val="0000FF"/>
            <w:kern w:val="0"/>
            <w:sz w:val="26"/>
            <w:szCs w:val="26"/>
            <w:u w:val="single"/>
            <w14:ligatures w14:val="none"/>
          </w:rPr>
          <w:t>Malcolm MacDonald</w:t>
        </w:r>
      </w:hyperlink>
      <w:r w:rsidRPr="00FE4F5E">
        <w:rPr>
          <w:rFonts w:ascii="Georgia" w:eastAsia="Times New Roman" w:hAnsi="Georgia" w:cs="Times New Roman"/>
          <w:kern w:val="0"/>
          <w:sz w:val="26"/>
          <w:szCs w:val="26"/>
          <w14:ligatures w14:val="none"/>
        </w:rPr>
        <w:t xml:space="preserve"> then </w:t>
      </w:r>
      <w:hyperlink r:id="rId19" w:tooltip="Secretary of State for the Colonies" w:history="1">
        <w:r w:rsidRPr="00FE4F5E">
          <w:rPr>
            <w:rFonts w:ascii="Georgia" w:eastAsia="Times New Roman" w:hAnsi="Georgia" w:cs="Times New Roman"/>
            <w:color w:val="0000FF"/>
            <w:kern w:val="0"/>
            <w:sz w:val="26"/>
            <w:szCs w:val="26"/>
            <w:u w:val="single"/>
            <w14:ligatures w14:val="none"/>
          </w:rPr>
          <w:t>Secretary of State for the Colonies</w:t>
        </w:r>
      </w:hyperlink>
      <w:r w:rsidRPr="00FE4F5E">
        <w:rPr>
          <w:rFonts w:ascii="Georgia" w:eastAsia="Times New Roman" w:hAnsi="Georgia" w:cs="Times New Roman"/>
          <w:kern w:val="0"/>
          <w:sz w:val="26"/>
          <w:szCs w:val="26"/>
          <w14:ligatures w14:val="none"/>
        </w:rPr>
        <w:t xml:space="preserve"> in order to controversially reinterpret the meaning that had been given to the Mandate terms at prior meetings.</w:t>
      </w:r>
      <w:r w:rsidRPr="00FE4F5E">
        <w:rPr>
          <w:rFonts w:ascii="Georgia" w:eastAsia="Times New Roman" w:hAnsi="Georgia" w:cs="Times New Roman"/>
          <w:kern w:val="0"/>
          <w:sz w:val="26"/>
          <w:szCs w:val="26"/>
          <w14:ligatures w14:val="none"/>
        </w:rPr>
        <w:t xml:space="preserve"> </w:t>
      </w:r>
    </w:p>
    <w:p w14:paraId="053F84F5" w14:textId="0BFA9A68" w:rsidR="00FE4F5E" w:rsidRPr="00FE4F5E" w:rsidRDefault="00FE4F5E" w:rsidP="00FE4F5E">
      <w:pPr>
        <w:spacing w:before="100" w:beforeAutospacing="1" w:after="100" w:afterAutospacing="1" w:line="240" w:lineRule="auto"/>
        <w:rPr>
          <w:rFonts w:ascii="Georgia" w:eastAsia="Times New Roman" w:hAnsi="Georgia" w:cs="Times New Roman"/>
          <w:kern w:val="0"/>
          <w:sz w:val="26"/>
          <w:szCs w:val="26"/>
          <w14:ligatures w14:val="none"/>
        </w:rPr>
      </w:pPr>
      <w:r w:rsidRPr="00FE4F5E">
        <w:rPr>
          <w:rFonts w:ascii="Georgia" w:eastAsia="Times New Roman" w:hAnsi="Georgia" w:cs="Times New Roman"/>
          <w:kern w:val="0"/>
          <w:sz w:val="26"/>
          <w:szCs w:val="26"/>
          <w14:ligatures w14:val="none"/>
        </w:rPr>
        <w:t xml:space="preserve">Friedman and </w:t>
      </w:r>
      <w:proofErr w:type="spellStart"/>
      <w:r w:rsidRPr="00FE4F5E">
        <w:rPr>
          <w:rFonts w:ascii="Georgia" w:eastAsia="Times New Roman" w:hAnsi="Georgia" w:cs="Times New Roman"/>
          <w:kern w:val="0"/>
          <w:sz w:val="26"/>
          <w:szCs w:val="26"/>
          <w14:ligatures w14:val="none"/>
        </w:rPr>
        <w:t>Kedourie</w:t>
      </w:r>
      <w:proofErr w:type="spellEnd"/>
      <w:r w:rsidRPr="00FE4F5E">
        <w:rPr>
          <w:rFonts w:ascii="Georgia" w:eastAsia="Times New Roman" w:hAnsi="Georgia" w:cs="Times New Roman"/>
          <w:kern w:val="0"/>
          <w:sz w:val="26"/>
          <w:szCs w:val="26"/>
          <w14:ligatures w14:val="none"/>
        </w:rPr>
        <w:t xml:space="preserve"> argue that Hussein accepted the Balfour Declaration while Charles </w:t>
      </w:r>
      <w:proofErr w:type="spellStart"/>
      <w:proofErr w:type="gramStart"/>
      <w:r w:rsidRPr="00FE4F5E">
        <w:rPr>
          <w:rFonts w:ascii="Georgia" w:eastAsia="Times New Roman" w:hAnsi="Georgia" w:cs="Times New Roman"/>
          <w:kern w:val="0"/>
          <w:sz w:val="26"/>
          <w:szCs w:val="26"/>
          <w14:ligatures w14:val="none"/>
        </w:rPr>
        <w:t>D.Smith</w:t>
      </w:r>
      <w:proofErr w:type="spellEnd"/>
      <w:proofErr w:type="gramEnd"/>
      <w:r w:rsidRPr="00FE4F5E">
        <w:rPr>
          <w:rFonts w:ascii="Georgia" w:eastAsia="Times New Roman" w:hAnsi="Georgia" w:cs="Times New Roman"/>
          <w:kern w:val="0"/>
          <w:sz w:val="26"/>
          <w:szCs w:val="26"/>
          <w14:ligatures w14:val="none"/>
        </w:rPr>
        <w:t xml:space="preserve"> argues that both Friedman and </w:t>
      </w:r>
      <w:proofErr w:type="spellStart"/>
      <w:r w:rsidRPr="00FE4F5E">
        <w:rPr>
          <w:rFonts w:ascii="Georgia" w:eastAsia="Times New Roman" w:hAnsi="Georgia" w:cs="Times New Roman"/>
          <w:kern w:val="0"/>
          <w:sz w:val="26"/>
          <w:szCs w:val="26"/>
          <w14:ligatures w14:val="none"/>
        </w:rPr>
        <w:t>Kedourie</w:t>
      </w:r>
      <w:proofErr w:type="spellEnd"/>
      <w:r w:rsidRPr="00FE4F5E">
        <w:rPr>
          <w:rFonts w:ascii="Georgia" w:eastAsia="Times New Roman" w:hAnsi="Georgia" w:cs="Times New Roman"/>
          <w:kern w:val="0"/>
          <w:sz w:val="26"/>
          <w:szCs w:val="26"/>
          <w14:ligatures w14:val="none"/>
        </w:rPr>
        <w:t xml:space="preserve"> misrepresent documents and violate scholarly standards in order to reach their conclusions. Hogarth reported that Hussein "would not accept an independent Jewish State in Palestine, nor was I instructed to warn him that such a state was contemplated by Great Britain".</w:t>
      </w:r>
    </w:p>
    <w:p w14:paraId="70DC55C9" w14:textId="52308DBC" w:rsidR="00FE4F5E" w:rsidRPr="00FE4F5E" w:rsidRDefault="00FE4F5E" w:rsidP="00FE4F5E">
      <w:pPr>
        <w:spacing w:before="100" w:beforeAutospacing="1" w:after="100" w:afterAutospacing="1" w:line="240" w:lineRule="auto"/>
        <w:rPr>
          <w:rFonts w:ascii="Georgia" w:eastAsia="Times New Roman" w:hAnsi="Georgia" w:cs="Times New Roman"/>
          <w:kern w:val="0"/>
          <w:sz w:val="26"/>
          <w:szCs w:val="26"/>
          <w14:ligatures w14:val="none"/>
        </w:rPr>
      </w:pPr>
      <w:r w:rsidRPr="00FE4F5E">
        <w:rPr>
          <w:rFonts w:ascii="Georgia" w:eastAsia="Times New Roman" w:hAnsi="Georgia" w:cs="Times New Roman"/>
          <w:kern w:val="0"/>
          <w:sz w:val="26"/>
          <w:szCs w:val="26"/>
          <w14:ligatures w14:val="none"/>
        </w:rPr>
        <w:t xml:space="preserve">The secret </w:t>
      </w:r>
      <w:hyperlink r:id="rId20" w:tooltip="Sykes–Picot Agreement" w:history="1">
        <w:r w:rsidRPr="00FE4F5E">
          <w:rPr>
            <w:rFonts w:ascii="Georgia" w:eastAsia="Times New Roman" w:hAnsi="Georgia" w:cs="Times New Roman"/>
            <w:color w:val="0000FF"/>
            <w:kern w:val="0"/>
            <w:sz w:val="26"/>
            <w:szCs w:val="26"/>
            <w:u w:val="single"/>
            <w14:ligatures w14:val="none"/>
          </w:rPr>
          <w:t>Sykes–Picot Agreement</w:t>
        </w:r>
      </w:hyperlink>
      <w:r w:rsidRPr="00FE4F5E">
        <w:rPr>
          <w:rFonts w:ascii="Georgia" w:eastAsia="Times New Roman" w:hAnsi="Georgia" w:cs="Times New Roman"/>
          <w:kern w:val="0"/>
          <w:sz w:val="26"/>
          <w:szCs w:val="26"/>
          <w14:ligatures w14:val="none"/>
        </w:rPr>
        <w:t xml:space="preserve"> had been revealed in the British press in late November of the previous year and in response to a query by Hussein, the British had sent the </w:t>
      </w:r>
      <w:hyperlink r:id="rId21" w:tooltip="Bassett Letter" w:history="1">
        <w:r w:rsidRPr="00FE4F5E">
          <w:rPr>
            <w:rFonts w:ascii="Georgia" w:eastAsia="Times New Roman" w:hAnsi="Georgia" w:cs="Times New Roman"/>
            <w:color w:val="0000FF"/>
            <w:kern w:val="0"/>
            <w:sz w:val="26"/>
            <w:szCs w:val="26"/>
            <w:u w:val="single"/>
            <w14:ligatures w14:val="none"/>
          </w:rPr>
          <w:t>Bassett Letter</w:t>
        </w:r>
      </w:hyperlink>
      <w:r w:rsidRPr="00FE4F5E">
        <w:rPr>
          <w:rFonts w:ascii="Georgia" w:eastAsia="Times New Roman" w:hAnsi="Georgia" w:cs="Times New Roman"/>
          <w:kern w:val="0"/>
          <w:sz w:val="26"/>
          <w:szCs w:val="26"/>
          <w14:ligatures w14:val="none"/>
        </w:rPr>
        <w:t xml:space="preserve"> of 8 February. It did not call for Arab sovereignty, but the French and British agreement did call for "suzerainty of an Arab chief" in its A and B areas and "an international administration, the form of which is to be decided upon after consultation with Russia, and subsequently in consultation with the other allies, and the representatives of the </w:t>
      </w:r>
      <w:hyperlink r:id="rId22" w:tooltip="Sharif of Mecca" w:history="1">
        <w:r w:rsidRPr="00FE4F5E">
          <w:rPr>
            <w:rFonts w:ascii="Georgia" w:eastAsia="Times New Roman" w:hAnsi="Georgia" w:cs="Times New Roman"/>
            <w:color w:val="0000FF"/>
            <w:kern w:val="0"/>
            <w:sz w:val="26"/>
            <w:szCs w:val="26"/>
            <w:u w:val="single"/>
            <w14:ligatures w14:val="none"/>
          </w:rPr>
          <w:t>Shereef of Mecca</w:t>
        </w:r>
      </w:hyperlink>
      <w:r w:rsidRPr="00FE4F5E">
        <w:rPr>
          <w:rFonts w:ascii="Georgia" w:eastAsia="Times New Roman" w:hAnsi="Georgia" w:cs="Times New Roman"/>
          <w:kern w:val="0"/>
          <w:sz w:val="26"/>
          <w:szCs w:val="26"/>
          <w14:ligatures w14:val="none"/>
        </w:rPr>
        <w:t>" in its brown area (a reduced Palestine).</w:t>
      </w:r>
      <w:r w:rsidRPr="00FE4F5E">
        <w:rPr>
          <w:rFonts w:ascii="Georgia" w:eastAsia="Times New Roman" w:hAnsi="Georgia" w:cs="Times New Roman"/>
          <w:kern w:val="0"/>
          <w:sz w:val="26"/>
          <w:szCs w:val="26"/>
          <w14:ligatures w14:val="none"/>
        </w:rPr>
        <w:t xml:space="preserve"> </w:t>
      </w:r>
    </w:p>
    <w:p w14:paraId="2292DCEF" w14:textId="77777777" w:rsidR="00CE343A" w:rsidRPr="00FE4F5E" w:rsidRDefault="00CE343A">
      <w:pPr>
        <w:rPr>
          <w:rFonts w:ascii="Georgia" w:hAnsi="Georgia"/>
          <w:sz w:val="26"/>
          <w:szCs w:val="26"/>
        </w:rPr>
      </w:pPr>
    </w:p>
    <w:sectPr w:rsidR="00CE343A" w:rsidRPr="00FE4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932"/>
    <w:multiLevelType w:val="multilevel"/>
    <w:tmpl w:val="C8E2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8195A"/>
    <w:multiLevelType w:val="multilevel"/>
    <w:tmpl w:val="B006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343D4"/>
    <w:multiLevelType w:val="multilevel"/>
    <w:tmpl w:val="A46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C23B42"/>
    <w:multiLevelType w:val="multilevel"/>
    <w:tmpl w:val="3590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789737">
    <w:abstractNumId w:val="0"/>
  </w:num>
  <w:num w:numId="2" w16cid:durableId="1039017559">
    <w:abstractNumId w:val="1"/>
  </w:num>
  <w:num w:numId="3" w16cid:durableId="111049776">
    <w:abstractNumId w:val="2"/>
  </w:num>
  <w:num w:numId="4" w16cid:durableId="1566179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5E"/>
    <w:rsid w:val="009523FD"/>
    <w:rsid w:val="00CE343A"/>
    <w:rsid w:val="00D065B3"/>
    <w:rsid w:val="00EB0F2D"/>
    <w:rsid w:val="00FE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7C45"/>
  <w15:chartTrackingRefBased/>
  <w15:docId w15:val="{816E5C43-CF09-4F7E-9D13-E3693B23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F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F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F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F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F5E"/>
    <w:rPr>
      <w:rFonts w:eastAsiaTheme="majorEastAsia" w:cstheme="majorBidi"/>
      <w:color w:val="272727" w:themeColor="text1" w:themeTint="D8"/>
    </w:rPr>
  </w:style>
  <w:style w:type="paragraph" w:styleId="Title">
    <w:name w:val="Title"/>
    <w:basedOn w:val="Normal"/>
    <w:next w:val="Normal"/>
    <w:link w:val="TitleChar"/>
    <w:uiPriority w:val="10"/>
    <w:qFormat/>
    <w:rsid w:val="00FE4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F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F5E"/>
    <w:pPr>
      <w:spacing w:before="160"/>
      <w:jc w:val="center"/>
    </w:pPr>
    <w:rPr>
      <w:i/>
      <w:iCs/>
      <w:color w:val="404040" w:themeColor="text1" w:themeTint="BF"/>
    </w:rPr>
  </w:style>
  <w:style w:type="character" w:customStyle="1" w:styleId="QuoteChar">
    <w:name w:val="Quote Char"/>
    <w:basedOn w:val="DefaultParagraphFont"/>
    <w:link w:val="Quote"/>
    <w:uiPriority w:val="29"/>
    <w:rsid w:val="00FE4F5E"/>
    <w:rPr>
      <w:i/>
      <w:iCs/>
      <w:color w:val="404040" w:themeColor="text1" w:themeTint="BF"/>
    </w:rPr>
  </w:style>
  <w:style w:type="paragraph" w:styleId="ListParagraph">
    <w:name w:val="List Paragraph"/>
    <w:basedOn w:val="Normal"/>
    <w:uiPriority w:val="34"/>
    <w:qFormat/>
    <w:rsid w:val="00FE4F5E"/>
    <w:pPr>
      <w:ind w:left="720"/>
      <w:contextualSpacing/>
    </w:pPr>
  </w:style>
  <w:style w:type="character" w:styleId="IntenseEmphasis">
    <w:name w:val="Intense Emphasis"/>
    <w:basedOn w:val="DefaultParagraphFont"/>
    <w:uiPriority w:val="21"/>
    <w:qFormat/>
    <w:rsid w:val="00FE4F5E"/>
    <w:rPr>
      <w:i/>
      <w:iCs/>
      <w:color w:val="0F4761" w:themeColor="accent1" w:themeShade="BF"/>
    </w:rPr>
  </w:style>
  <w:style w:type="paragraph" w:styleId="IntenseQuote">
    <w:name w:val="Intense Quote"/>
    <w:basedOn w:val="Normal"/>
    <w:next w:val="Normal"/>
    <w:link w:val="IntenseQuoteChar"/>
    <w:uiPriority w:val="30"/>
    <w:qFormat/>
    <w:rsid w:val="00FE4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F5E"/>
    <w:rPr>
      <w:i/>
      <w:iCs/>
      <w:color w:val="0F4761" w:themeColor="accent1" w:themeShade="BF"/>
    </w:rPr>
  </w:style>
  <w:style w:type="character" w:styleId="IntenseReference">
    <w:name w:val="Intense Reference"/>
    <w:basedOn w:val="DefaultParagraphFont"/>
    <w:uiPriority w:val="32"/>
    <w:qFormat/>
    <w:rsid w:val="00FE4F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594">
      <w:bodyDiv w:val="1"/>
      <w:marLeft w:val="0"/>
      <w:marRight w:val="0"/>
      <w:marTop w:val="0"/>
      <w:marBottom w:val="0"/>
      <w:divBdr>
        <w:top w:val="none" w:sz="0" w:space="0" w:color="auto"/>
        <w:left w:val="none" w:sz="0" w:space="0" w:color="auto"/>
        <w:bottom w:val="none" w:sz="0" w:space="0" w:color="auto"/>
        <w:right w:val="none" w:sz="0" w:space="0" w:color="auto"/>
      </w:divBdr>
      <w:divsChild>
        <w:div w:id="2005354718">
          <w:marLeft w:val="0"/>
          <w:marRight w:val="0"/>
          <w:marTop w:val="0"/>
          <w:marBottom w:val="0"/>
          <w:divBdr>
            <w:top w:val="none" w:sz="0" w:space="0" w:color="auto"/>
            <w:left w:val="none" w:sz="0" w:space="0" w:color="auto"/>
            <w:bottom w:val="none" w:sz="0" w:space="0" w:color="auto"/>
            <w:right w:val="none" w:sz="0" w:space="0" w:color="auto"/>
          </w:divBdr>
          <w:divsChild>
            <w:div w:id="102388888">
              <w:marLeft w:val="0"/>
              <w:marRight w:val="0"/>
              <w:marTop w:val="0"/>
              <w:marBottom w:val="0"/>
              <w:divBdr>
                <w:top w:val="none" w:sz="0" w:space="0" w:color="auto"/>
                <w:left w:val="none" w:sz="0" w:space="0" w:color="auto"/>
                <w:bottom w:val="none" w:sz="0" w:space="0" w:color="auto"/>
                <w:right w:val="none" w:sz="0" w:space="0" w:color="auto"/>
              </w:divBdr>
              <w:divsChild>
                <w:div w:id="1294557361">
                  <w:marLeft w:val="0"/>
                  <w:marRight w:val="0"/>
                  <w:marTop w:val="0"/>
                  <w:marBottom w:val="0"/>
                  <w:divBdr>
                    <w:top w:val="none" w:sz="0" w:space="0" w:color="auto"/>
                    <w:left w:val="none" w:sz="0" w:space="0" w:color="auto"/>
                    <w:bottom w:val="none" w:sz="0" w:space="0" w:color="auto"/>
                    <w:right w:val="none" w:sz="0" w:space="0" w:color="auto"/>
                  </w:divBdr>
                  <w:divsChild>
                    <w:div w:id="1703555571">
                      <w:marLeft w:val="0"/>
                      <w:marRight w:val="0"/>
                      <w:marTop w:val="0"/>
                      <w:marBottom w:val="0"/>
                      <w:divBdr>
                        <w:top w:val="none" w:sz="0" w:space="0" w:color="auto"/>
                        <w:left w:val="none" w:sz="0" w:space="0" w:color="auto"/>
                        <w:bottom w:val="none" w:sz="0" w:space="0" w:color="auto"/>
                        <w:right w:val="none" w:sz="0" w:space="0" w:color="auto"/>
                      </w:divBdr>
                      <w:divsChild>
                        <w:div w:id="329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2717">
                  <w:marLeft w:val="0"/>
                  <w:marRight w:val="0"/>
                  <w:marTop w:val="0"/>
                  <w:marBottom w:val="0"/>
                  <w:divBdr>
                    <w:top w:val="none" w:sz="0" w:space="0" w:color="auto"/>
                    <w:left w:val="none" w:sz="0" w:space="0" w:color="auto"/>
                    <w:bottom w:val="none" w:sz="0" w:space="0" w:color="auto"/>
                    <w:right w:val="none" w:sz="0" w:space="0" w:color="auto"/>
                  </w:divBdr>
                  <w:divsChild>
                    <w:div w:id="1184830745">
                      <w:marLeft w:val="0"/>
                      <w:marRight w:val="0"/>
                      <w:marTop w:val="0"/>
                      <w:marBottom w:val="0"/>
                      <w:divBdr>
                        <w:top w:val="none" w:sz="0" w:space="0" w:color="auto"/>
                        <w:left w:val="none" w:sz="0" w:space="0" w:color="auto"/>
                        <w:bottom w:val="none" w:sz="0" w:space="0" w:color="auto"/>
                        <w:right w:val="none" w:sz="0" w:space="0" w:color="auto"/>
                      </w:divBdr>
                      <w:divsChild>
                        <w:div w:id="62916573">
                          <w:marLeft w:val="0"/>
                          <w:marRight w:val="0"/>
                          <w:marTop w:val="0"/>
                          <w:marBottom w:val="0"/>
                          <w:divBdr>
                            <w:top w:val="none" w:sz="0" w:space="0" w:color="auto"/>
                            <w:left w:val="none" w:sz="0" w:space="0" w:color="auto"/>
                            <w:bottom w:val="none" w:sz="0" w:space="0" w:color="auto"/>
                            <w:right w:val="none" w:sz="0" w:space="0" w:color="auto"/>
                          </w:divBdr>
                        </w:div>
                      </w:divsChild>
                    </w:div>
                    <w:div w:id="15820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967">
          <w:marLeft w:val="0"/>
          <w:marRight w:val="0"/>
          <w:marTop w:val="0"/>
          <w:marBottom w:val="0"/>
          <w:divBdr>
            <w:top w:val="none" w:sz="0" w:space="0" w:color="auto"/>
            <w:left w:val="none" w:sz="0" w:space="0" w:color="auto"/>
            <w:bottom w:val="none" w:sz="0" w:space="0" w:color="auto"/>
            <w:right w:val="none" w:sz="0" w:space="0" w:color="auto"/>
          </w:divBdr>
          <w:divsChild>
            <w:div w:id="925840498">
              <w:marLeft w:val="0"/>
              <w:marRight w:val="0"/>
              <w:marTop w:val="0"/>
              <w:marBottom w:val="0"/>
              <w:divBdr>
                <w:top w:val="none" w:sz="0" w:space="0" w:color="auto"/>
                <w:left w:val="none" w:sz="0" w:space="0" w:color="auto"/>
                <w:bottom w:val="none" w:sz="0" w:space="0" w:color="auto"/>
                <w:right w:val="none" w:sz="0" w:space="0" w:color="auto"/>
              </w:divBdr>
              <w:divsChild>
                <w:div w:id="2137526862">
                  <w:marLeft w:val="0"/>
                  <w:marRight w:val="0"/>
                  <w:marTop w:val="0"/>
                  <w:marBottom w:val="0"/>
                  <w:divBdr>
                    <w:top w:val="none" w:sz="0" w:space="0" w:color="auto"/>
                    <w:left w:val="none" w:sz="0" w:space="0" w:color="auto"/>
                    <w:bottom w:val="none" w:sz="0" w:space="0" w:color="auto"/>
                    <w:right w:val="none" w:sz="0" w:space="0" w:color="auto"/>
                  </w:divBdr>
                  <w:divsChild>
                    <w:div w:id="2133859607">
                      <w:marLeft w:val="0"/>
                      <w:marRight w:val="0"/>
                      <w:marTop w:val="0"/>
                      <w:marBottom w:val="0"/>
                      <w:divBdr>
                        <w:top w:val="none" w:sz="0" w:space="0" w:color="auto"/>
                        <w:left w:val="none" w:sz="0" w:space="0" w:color="auto"/>
                        <w:bottom w:val="none" w:sz="0" w:space="0" w:color="auto"/>
                        <w:right w:val="none" w:sz="0" w:space="0" w:color="auto"/>
                      </w:divBdr>
                      <w:divsChild>
                        <w:div w:id="617490718">
                          <w:marLeft w:val="0"/>
                          <w:marRight w:val="0"/>
                          <w:marTop w:val="0"/>
                          <w:marBottom w:val="0"/>
                          <w:divBdr>
                            <w:top w:val="none" w:sz="0" w:space="0" w:color="auto"/>
                            <w:left w:val="none" w:sz="0" w:space="0" w:color="auto"/>
                            <w:bottom w:val="none" w:sz="0" w:space="0" w:color="auto"/>
                            <w:right w:val="none" w:sz="0" w:space="0" w:color="auto"/>
                          </w:divBdr>
                          <w:divsChild>
                            <w:div w:id="1064376736">
                              <w:marLeft w:val="0"/>
                              <w:marRight w:val="0"/>
                              <w:marTop w:val="0"/>
                              <w:marBottom w:val="0"/>
                              <w:divBdr>
                                <w:top w:val="none" w:sz="0" w:space="0" w:color="auto"/>
                                <w:left w:val="none" w:sz="0" w:space="0" w:color="auto"/>
                                <w:bottom w:val="none" w:sz="0" w:space="0" w:color="auto"/>
                                <w:right w:val="none" w:sz="0" w:space="0" w:color="auto"/>
                              </w:divBdr>
                              <w:divsChild>
                                <w:div w:id="1768192814">
                                  <w:marLeft w:val="0"/>
                                  <w:marRight w:val="0"/>
                                  <w:marTop w:val="0"/>
                                  <w:marBottom w:val="0"/>
                                  <w:divBdr>
                                    <w:top w:val="none" w:sz="0" w:space="0" w:color="auto"/>
                                    <w:left w:val="none" w:sz="0" w:space="0" w:color="auto"/>
                                    <w:bottom w:val="none" w:sz="0" w:space="0" w:color="auto"/>
                                    <w:right w:val="none" w:sz="0" w:space="0" w:color="auto"/>
                                  </w:divBdr>
                                  <w:divsChild>
                                    <w:div w:id="1810585963">
                                      <w:marLeft w:val="0"/>
                                      <w:marRight w:val="0"/>
                                      <w:marTop w:val="0"/>
                                      <w:marBottom w:val="0"/>
                                      <w:divBdr>
                                        <w:top w:val="none" w:sz="0" w:space="0" w:color="auto"/>
                                        <w:left w:val="none" w:sz="0" w:space="0" w:color="auto"/>
                                        <w:bottom w:val="none" w:sz="0" w:space="0" w:color="auto"/>
                                        <w:right w:val="none" w:sz="0" w:space="0" w:color="auto"/>
                                      </w:divBdr>
                                      <w:divsChild>
                                        <w:div w:id="181746448">
                                          <w:marLeft w:val="0"/>
                                          <w:marRight w:val="0"/>
                                          <w:marTop w:val="0"/>
                                          <w:marBottom w:val="0"/>
                                          <w:divBdr>
                                            <w:top w:val="none" w:sz="0" w:space="0" w:color="auto"/>
                                            <w:left w:val="none" w:sz="0" w:space="0" w:color="auto"/>
                                            <w:bottom w:val="none" w:sz="0" w:space="0" w:color="auto"/>
                                            <w:right w:val="none" w:sz="0" w:space="0" w:color="auto"/>
                                          </w:divBdr>
                                        </w:div>
                                      </w:divsChild>
                                    </w:div>
                                    <w:div w:id="131945574">
                                      <w:marLeft w:val="0"/>
                                      <w:marRight w:val="0"/>
                                      <w:marTop w:val="0"/>
                                      <w:marBottom w:val="0"/>
                                      <w:divBdr>
                                        <w:top w:val="none" w:sz="0" w:space="0" w:color="auto"/>
                                        <w:left w:val="none" w:sz="0" w:space="0" w:color="auto"/>
                                        <w:bottom w:val="none" w:sz="0" w:space="0" w:color="auto"/>
                                        <w:right w:val="none" w:sz="0" w:space="0" w:color="auto"/>
                                      </w:divBdr>
                                      <w:divsChild>
                                        <w:div w:id="2548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495078">
          <w:marLeft w:val="0"/>
          <w:marRight w:val="0"/>
          <w:marTop w:val="0"/>
          <w:marBottom w:val="0"/>
          <w:divBdr>
            <w:top w:val="none" w:sz="0" w:space="0" w:color="auto"/>
            <w:left w:val="none" w:sz="0" w:space="0" w:color="auto"/>
            <w:bottom w:val="none" w:sz="0" w:space="0" w:color="auto"/>
            <w:right w:val="none" w:sz="0" w:space="0" w:color="auto"/>
          </w:divBdr>
          <w:divsChild>
            <w:div w:id="344017663">
              <w:marLeft w:val="0"/>
              <w:marRight w:val="0"/>
              <w:marTop w:val="0"/>
              <w:marBottom w:val="0"/>
              <w:divBdr>
                <w:top w:val="none" w:sz="0" w:space="0" w:color="auto"/>
                <w:left w:val="none" w:sz="0" w:space="0" w:color="auto"/>
                <w:bottom w:val="none" w:sz="0" w:space="0" w:color="auto"/>
                <w:right w:val="none" w:sz="0" w:space="0" w:color="auto"/>
              </w:divBdr>
              <w:divsChild>
                <w:div w:id="2079938920">
                  <w:marLeft w:val="0"/>
                  <w:marRight w:val="0"/>
                  <w:marTop w:val="0"/>
                  <w:marBottom w:val="0"/>
                  <w:divBdr>
                    <w:top w:val="none" w:sz="0" w:space="0" w:color="auto"/>
                    <w:left w:val="none" w:sz="0" w:space="0" w:color="auto"/>
                    <w:bottom w:val="none" w:sz="0" w:space="0" w:color="auto"/>
                    <w:right w:val="none" w:sz="0" w:space="0" w:color="auto"/>
                  </w:divBdr>
                </w:div>
              </w:divsChild>
            </w:div>
            <w:div w:id="166748533">
              <w:marLeft w:val="0"/>
              <w:marRight w:val="0"/>
              <w:marTop w:val="0"/>
              <w:marBottom w:val="0"/>
              <w:divBdr>
                <w:top w:val="none" w:sz="0" w:space="0" w:color="auto"/>
                <w:left w:val="none" w:sz="0" w:space="0" w:color="auto"/>
                <w:bottom w:val="none" w:sz="0" w:space="0" w:color="auto"/>
                <w:right w:val="none" w:sz="0" w:space="0" w:color="auto"/>
              </w:divBdr>
              <w:divsChild>
                <w:div w:id="10189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35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uy_Dawnay_(British_Army_officer)" TargetMode="External"/><Relationship Id="rId13" Type="http://schemas.openxmlformats.org/officeDocument/2006/relationships/hyperlink" Target="https://en.wikipedia.org/wiki/Jeddah" TargetMode="External"/><Relationship Id="rId18" Type="http://schemas.openxmlformats.org/officeDocument/2006/relationships/hyperlink" Target="https://en.wikipedia.org/wiki/Malcolm_MacDonald" TargetMode="External"/><Relationship Id="rId3" Type="http://schemas.openxmlformats.org/officeDocument/2006/relationships/settings" Target="settings.xml"/><Relationship Id="rId21" Type="http://schemas.openxmlformats.org/officeDocument/2006/relationships/hyperlink" Target="https://en.wikipedia.org/wiki/Bassett_Letter" TargetMode="External"/><Relationship Id="rId7" Type="http://schemas.openxmlformats.org/officeDocument/2006/relationships/hyperlink" Target="https://en.wikipedia.org/wiki/T.E._Lawrence" TargetMode="External"/><Relationship Id="rId12" Type="http://schemas.openxmlformats.org/officeDocument/2006/relationships/hyperlink" Target="https://en.wikipedia.org/wiki/Balfour_Declaration" TargetMode="External"/><Relationship Id="rId17" Type="http://schemas.openxmlformats.org/officeDocument/2006/relationships/hyperlink" Target="https://en.wikipedia.org/wiki/Permanent_Mandates_Commission_(Palestine)" TargetMode="External"/><Relationship Id="rId2" Type="http://schemas.openxmlformats.org/officeDocument/2006/relationships/styles" Target="styles.xml"/><Relationship Id="rId16" Type="http://schemas.openxmlformats.org/officeDocument/2006/relationships/hyperlink" Target="https://en.wikipedia.org/wiki/Mosque_of_Omar_(Jerusalem)" TargetMode="External"/><Relationship Id="rId20" Type="http://schemas.openxmlformats.org/officeDocument/2006/relationships/hyperlink" Target="https://en.wikipedia.org/wiki/Sykes%E2%80%93Picot_Agreemen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Hussein_bin_Ali,_Sharif_of_Mecca" TargetMode="External"/><Relationship Id="rId24" Type="http://schemas.openxmlformats.org/officeDocument/2006/relationships/theme" Target="theme/theme1.xml"/><Relationship Id="rId5" Type="http://schemas.openxmlformats.org/officeDocument/2006/relationships/hyperlink" Target="https://en.wikipedia.org/wiki/File:T.E._Lawrence;_D.G._Hogarth;_Lt._Col._Dawnay.jpg" TargetMode="External"/><Relationship Id="rId15" Type="http://schemas.openxmlformats.org/officeDocument/2006/relationships/hyperlink" Target="https://en.wikipedia.org/wiki/Wakf" TargetMode="External"/><Relationship Id="rId23" Type="http://schemas.openxmlformats.org/officeDocument/2006/relationships/fontTable" Target="fontTable.xml"/><Relationship Id="rId10" Type="http://schemas.openxmlformats.org/officeDocument/2006/relationships/hyperlink" Target="https://en.wikipedia.org/wiki/Arab_Bureau" TargetMode="External"/><Relationship Id="rId19" Type="http://schemas.openxmlformats.org/officeDocument/2006/relationships/hyperlink" Target="https://en.wikipedia.org/wiki/Secretary_of_State_for_the_Colonies" TargetMode="External"/><Relationship Id="rId4" Type="http://schemas.openxmlformats.org/officeDocument/2006/relationships/webSettings" Target="webSettings.xml"/><Relationship Id="rId9" Type="http://schemas.openxmlformats.org/officeDocument/2006/relationships/hyperlink" Target="https://en.wikipedia.org/wiki/David_George_Hogarth" TargetMode="External"/><Relationship Id="rId14" Type="http://schemas.openxmlformats.org/officeDocument/2006/relationships/hyperlink" Target="https://en.wikipedia.org/wiki/Mark_Sykes" TargetMode="External"/><Relationship Id="rId22" Type="http://schemas.openxmlformats.org/officeDocument/2006/relationships/hyperlink" Target="https://en.wikipedia.org/wiki/Sharif_of_Me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Benhaim</dc:creator>
  <cp:keywords/>
  <dc:description/>
  <cp:lastModifiedBy>Olivier</cp:lastModifiedBy>
  <cp:revision>1</cp:revision>
  <dcterms:created xsi:type="dcterms:W3CDTF">2024-03-16T22:50:00Z</dcterms:created>
  <dcterms:modified xsi:type="dcterms:W3CDTF">2024-03-16T22:55:00Z</dcterms:modified>
</cp:coreProperties>
</file>